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20" w:after="40"/>
      </w:pPr>
      <w:r>
        <w:rPr>
          <w:rFonts w:ascii="Calibri" w:hAnsi="Calibri"/>
          <w:b/>
          <w:i w:val="0"/>
          <w:color w:val="2E75B6"/>
          <w:sz w:val="18"/>
        </w:rPr>
        <w:t>NORTHSTAR AI</w:t>
      </w:r>
    </w:p>
    <w:p>
      <w:pPr>
        <w:spacing w:before="0" w:after="80"/>
      </w:pPr>
      <w:r>
        <w:rPr>
          <w:rFonts w:ascii="Calibri" w:hAnsi="Calibri"/>
          <w:b/>
          <w:i w:val="0"/>
          <w:color w:val="17365D"/>
          <w:sz w:val="48"/>
        </w:rPr>
        <w:t>Beacon Launch Plan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420"/>
        <w:gridCol w:w="3260"/>
        <w:gridCol w:w="1180"/>
        <w:gridCol w:w="3500"/>
      </w:tblGrid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Department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Marketing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Owner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Priya Shah, VP Marketing</w:t>
            </w:r>
          </w:p>
        </w:tc>
      </w:tr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Date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March 3, 2026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Status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Approved</w:t>
            </w:r>
          </w:p>
        </w:tc>
      </w:tr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Related Product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Beacon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Classification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Internal - fictional demo</w:t>
            </w:r>
          </w:p>
        </w:tc>
      </w:tr>
    </w:tbl>
    <w:p>
      <w:pPr>
        <w:spacing w:after="0"/>
      </w:pPr>
    </w:p>
    <w:p>
      <w:pPr>
        <w:pStyle w:val="Heading1"/>
      </w:pPr>
      <w:r>
        <w:t>Launch goal</w:t>
      </w:r>
    </w:p>
    <w:p>
      <w:r>
        <w:rPr>
          <w:rFonts w:ascii="Calibri" w:hAnsi="Calibri"/>
          <w:b w:val="0"/>
          <w:i w:val="0"/>
          <w:color w:val="202124"/>
          <w:sz w:val="22"/>
        </w:rPr>
        <w:t>Launch Beacon to mid-market knowledge-management buyers on June 16, 2026. The campaign will show how employees can find policy, product, and operational information without knowing exact filenames.</w:t>
      </w:r>
    </w:p>
    <w:p>
      <w:pPr>
        <w:pStyle w:val="Heading1"/>
      </w:pPr>
      <w:r>
        <w:t>Launch phases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300"/>
        <w:gridCol w:w="1450"/>
        <w:gridCol w:w="4510"/>
        <w:gridCol w:w="2100"/>
      </w:tblGrid>
      <w:tr>
        <w:trPr>
          <w:tblHeader w:val="true"/>
        </w:trPr>
        <w:tc>
          <w:tcPr>
            <w:tcW w:type="dxa" w:w="130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Phase</w:t>
            </w:r>
          </w:p>
        </w:tc>
        <w:tc>
          <w:tcPr>
            <w:tcW w:type="dxa" w:w="145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Timing</w:t>
            </w:r>
          </w:p>
        </w:tc>
        <w:tc>
          <w:tcPr>
            <w:tcW w:type="dxa" w:w="451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Key work</w:t>
            </w:r>
          </w:p>
        </w:tc>
        <w:tc>
          <w:tcPr>
            <w:tcW w:type="dxa" w:w="210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Owner</w:t>
            </w:r>
          </w:p>
        </w:tc>
      </w:tr>
      <w:tr>
        <w:tc>
          <w:tcPr>
            <w:tcW w:type="dxa" w:w="13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Prepare</w:t>
            </w:r>
          </w:p>
        </w:tc>
        <w:tc>
          <w:tcPr>
            <w:tcW w:type="dxa" w:w="145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March-April</w:t>
            </w:r>
          </w:p>
        </w:tc>
        <w:tc>
          <w:tcPr>
            <w:tcW w:type="dxa" w:w="451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Finalize messaging, demo library, and sales training.</w:t>
            </w:r>
          </w:p>
        </w:tc>
        <w:tc>
          <w:tcPr>
            <w:tcW w:type="dxa" w:w="21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Priya Shah</w:t>
            </w:r>
          </w:p>
        </w:tc>
      </w:tr>
      <w:tr>
        <w:tc>
          <w:tcPr>
            <w:tcW w:type="dxa" w:w="13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Pilot proof</w:t>
            </w:r>
          </w:p>
        </w:tc>
        <w:tc>
          <w:tcPr>
            <w:tcW w:type="dxa" w:w="145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April-May</w:t>
            </w:r>
          </w:p>
        </w:tc>
        <w:tc>
          <w:tcPr>
            <w:tcW w:type="dxa" w:w="451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Collect feedback from three fictional design partners.</w:t>
            </w:r>
          </w:p>
        </w:tc>
        <w:tc>
          <w:tcPr>
            <w:tcW w:type="dxa" w:w="21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Elena Rossi</w:t>
            </w:r>
          </w:p>
        </w:tc>
      </w:tr>
      <w:tr>
        <w:tc>
          <w:tcPr>
            <w:tcW w:type="dxa" w:w="13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Launch</w:t>
            </w:r>
          </w:p>
        </w:tc>
        <w:tc>
          <w:tcPr>
            <w:tcW w:type="dxa" w:w="145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June</w:t>
            </w:r>
          </w:p>
        </w:tc>
        <w:tc>
          <w:tcPr>
            <w:tcW w:type="dxa" w:w="451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Webinar, website release, analyst briefings, and customer email.</w:t>
            </w:r>
          </w:p>
        </w:tc>
        <w:tc>
          <w:tcPr>
            <w:tcW w:type="dxa" w:w="21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Priya Shah</w:t>
            </w:r>
          </w:p>
        </w:tc>
      </w:tr>
      <w:tr>
        <w:tc>
          <w:tcPr>
            <w:tcW w:type="dxa" w:w="13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Expand</w:t>
            </w:r>
          </w:p>
        </w:tc>
        <w:tc>
          <w:tcPr>
            <w:tcW w:type="dxa" w:w="145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July-September</w:t>
            </w:r>
          </w:p>
        </w:tc>
        <w:tc>
          <w:tcPr>
            <w:tcW w:type="dxa" w:w="451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Publish search use cases and partner enablement.</w:t>
            </w:r>
          </w:p>
        </w:tc>
        <w:tc>
          <w:tcPr>
            <w:tcW w:type="dxa" w:w="21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Priya Shah</w:t>
            </w:r>
          </w:p>
        </w:tc>
      </w:tr>
    </w:tbl>
    <w:p>
      <w:pPr>
        <w:pStyle w:val="Heading1"/>
      </w:pPr>
      <w:r>
        <w:t>Key messages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Find the right document even when you remember only the topic.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Get a concise answer with links to the underlying company sources.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Respect existing SharePoint permissions and content ownership.</w:t>
      </w:r>
    </w:p>
    <w:p>
      <w:pPr>
        <w:pStyle w:val="Heading1"/>
      </w:pPr>
      <w:r>
        <w:t>Launch budget</w:t>
      </w:r>
    </w:p>
    <w:p>
      <w:r>
        <w:rPr>
          <w:rFonts w:ascii="Calibri" w:hAnsi="Calibri"/>
          <w:b w:val="0"/>
          <w:i w:val="0"/>
          <w:color w:val="202124"/>
          <w:sz w:val="22"/>
        </w:rPr>
        <w:t>Beacon launch activities carry a planned 2026 marketing spend of $171,000 across webinar production, launch content, partner enablement, and digital demand generation. Detailed budget and actual spending are recorded in FY2026 Marketing Budget.xlsx.</w:t>
      </w:r>
    </w:p>
    <w:p>
      <w:pPr>
        <w:pStyle w:val="Heading1"/>
      </w:pPr>
      <w:r>
        <w:t>Readiness approvals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Elena Rossi approves product claims and demonstration behavior.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Priya Shah approves campaign assets and launch sequencing.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Rachel Stein approves total launch spending and changes above $15,000.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Sarah Kim reviews internal policy examples for accuracy.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224" w:bottom="1008" w:left="1224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Calibri" w:hAnsi="Calibri"/>
        <w:b w:val="0"/>
        <w:i w:val="0"/>
        <w:color w:val="6B7280"/>
        <w:sz w:val="16"/>
      </w:rPr>
      <w:t xml:space="preserve">Page </w:t>
    </w:r>
    <w:fldChar w:fldCharType="begin"/>
    <w:instrText xml:space="preserve"> PAGE </w:instrText>
    <w:fldChar w:fldCharType="end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/>
        <w:b/>
        <w:i w:val="0"/>
        <w:color w:val="6B7280"/>
        <w:sz w:val="16"/>
      </w:rPr>
      <w:t>NORTHSTAR AI  |  INTERNAL DEMO CONTENT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69" w:lineRule="auto"/>
    </w:pPr>
    <w:rPr>
      <w:rFonts w:ascii="Calibri" w:hAnsi="Calibri"/>
      <w:color w:val="202124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140"/>
      <w:outlineLvl w:val="0"/>
    </w:pPr>
    <w:rPr>
      <w:rFonts w:asciiTheme="majorHAnsi" w:eastAsiaTheme="majorEastAsia" w:hAnsiTheme="majorHAnsi" w:cstheme="majorBidi" w:ascii="Calibri" w:hAnsi="Calibri"/>
      <w:b/>
      <w:bCs/>
      <w:color w:val="17365D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Calibri" w:hAnsi="Calibri"/>
      <w:b/>
      <w:bCs/>
      <w:color w:val="17365D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60" w:line="269" w:lineRule="auto"/>
      <w:ind w:left="547" w:hanging="259"/>
      <w:contextualSpacing/>
    </w:pPr>
    <w:rPr>
      <w:rFonts w:ascii="Calibri" w:hAnsi="Calibri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60" w:line="269" w:lineRule="auto"/>
      <w:ind w:left="547" w:hanging="259"/>
      <w:contextualSpacing/>
    </w:pPr>
    <w:rPr>
      <w:rFonts w:ascii="Calibri" w:hAnsi="Calibri"/>
      <w:sz w:val="21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238C52ED960247B3A2824D8BC4D643" ma:contentTypeVersion="3" ma:contentTypeDescription="Create a new document." ma:contentTypeScope="" ma:versionID="7acf50459a7166135bf44d3f930b1b1c">
  <xsd:schema xmlns:xsd="http://www.w3.org/2001/XMLSchema" xmlns:xs="http://www.w3.org/2001/XMLSchema" xmlns:p="http://schemas.microsoft.com/office/2006/metadata/properties" xmlns:ns2="21b1b137-97de-42cf-a5fb-314c468c8af0" targetNamespace="http://schemas.microsoft.com/office/2006/metadata/properties" ma:root="true" ma:fieldsID="5f28b13b4b142af8a6531b2ad340f1be" ns2:_="">
    <xsd:import namespace="21b1b137-97de-42cf-a5fb-314c468c8a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1b137-97de-42cf-a5fb-314c468c8a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948126-CF69-438A-80A8-211117FB2132}"/>
</file>

<file path=customXml/itemProps3.xml><?xml version="1.0" encoding="utf-8"?>
<ds:datastoreItem xmlns:ds="http://schemas.openxmlformats.org/officeDocument/2006/customXml" ds:itemID="{809285C0-8A36-4127-AA4F-5614093FCF26}"/>
</file>

<file path=customXml/itemProps4.xml><?xml version="1.0" encoding="utf-8"?>
<ds:datastoreItem xmlns:ds="http://schemas.openxmlformats.org/officeDocument/2006/customXml" ds:itemID="{3ED0601F-6918-436E-AD44-8636E31AAD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0x010100D3238C52ED960247B3A2824D8BC4D643</vt:lpwstr>
  </property>
</Properties>
</file>